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eorgia" w:hAnsi="Georgia"/>
          <w:b/>
          <w:color w:val="0A0D0B"/>
          <w:sz w:val="38"/>
        </w:rPr>
        <w:t>Grafton Group Schedule of Charges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247" w:type="dxa"/>
      </w:tblPr>
      <w:tblGrid>
        <w:gridCol w:w="1247"/>
      </w:tblGrid>
      <w:tr>
        <w:trPr>
          <w:trHeight w:val="52" w:hRule="exact"/>
        </w:trPr>
        <w:tc>
          <w:tcPr>
            <w:tcW w:type="dxa" w:w="1247"/>
            <w:shd w:val="clear" w:color="auto" w:fill="9A7B4F"/>
            <w:tcMar>
              <w:top w:w="0" w:type="dxa"/>
              <w:bottom w:w="0" w:type="dxa"/>
              <w:start w:w="0" w:type="dxa"/>
              <w:end w:w="0" w:type="dxa"/>
            </w:tcMar>
          </w:tcPr>
          <w:p>
            <w:pPr>
              <w:spacing w:after="0" w:before="0" w:line="52" w:lineRule="exact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20"/>
      </w:pPr>
      <w:r>
        <w:rPr>
          <w:color w:val="58635C"/>
          <w:sz w:val="16"/>
        </w:rPr>
        <w:t>Prepared 09 October 2026  •  Chartwell (NZ) Ltd T/A Grafton Group</w:t>
      </w:r>
    </w:p>
    <w:p/>
    <w:p>
      <w:pPr>
        <w:spacing w:before="120"/>
      </w:pPr>
      <w:r>
        <w:rPr>
          <w:b/>
          <w:color w:val="9A7B4F"/>
          <w:sz w:val="20"/>
        </w:rPr>
        <w:t>GRAFTON GROUP — SCHEDULE OF CHARGES</w:t>
      </w:r>
    </w:p>
    <w:p>
      <w:r>
        <w:rPr>
          <w:color w:val="0A0D0B"/>
          <w:sz w:val="21"/>
        </w:rPr>
        <w:t>Chartwell (NZ) Ltd T/A Grafton Group</w:t>
      </w:r>
    </w:p>
    <w:p/>
    <w:p>
      <w:r>
        <w:rPr>
          <w:color w:val="0A0D0B"/>
          <w:sz w:val="21"/>
        </w:rPr>
        <w:t>The standard hourly rate is $85.00 per hour. Amounts marked * are subject to GST. Ministry of Justice lodgement fees are set by the Court and are passed on at cost. The figures below are indicative estimates based on a typical file; actual charges depend on the work required.</w:t>
      </w:r>
    </w:p>
    <w:p/>
    <w:p>
      <w:pPr>
        <w:spacing w:before="120"/>
      </w:pPr>
      <w:r>
        <w:rPr>
          <w:b/>
          <w:color w:val="9A7B4F"/>
          <w:sz w:val="20"/>
        </w:rPr>
        <w:t>COLLECTION COSTS — TO OBTAINING JUDGMENT</w:t>
      </w:r>
    </w:p>
    <w:p>
      <w:r>
        <w:rPr>
          <w:color w:val="0A0D0B"/>
          <w:sz w:val="21"/>
        </w:rPr>
        <w:t>1. Liaise with the client, understand the issues to be resolved and set up an initial meeting (minimum 3 hours)</w:t>
      </w:r>
    </w:p>
    <w:p>
      <w:r>
        <w:rPr>
          <w:rFonts w:ascii="Consolas" w:hAnsi="Consolas"/>
          <w:color w:val="0A0D0B"/>
          <w:sz w:val="18"/>
        </w:rPr>
        <w:t xml:space="preserve">    3 hrs x $85.00 = $255.00    (incl. GST $293.25)</w:t>
      </w:r>
    </w:p>
    <w:p>
      <w:r>
        <w:rPr>
          <w:color w:val="0A0D0B"/>
          <w:sz w:val="21"/>
        </w:rPr>
        <w:t>2. Where there is no response or agreement, prepare Notice of Proceedings and Statement of Claim</w:t>
      </w:r>
    </w:p>
    <w:p>
      <w:r>
        <w:rPr>
          <w:rFonts w:ascii="Consolas" w:hAnsi="Consolas"/>
          <w:color w:val="0A0D0B"/>
          <w:sz w:val="18"/>
        </w:rPr>
        <w:t xml:space="preserve">    3.5 hrs x $85.00 = $297.50    (incl. GST $342.13)</w:t>
      </w:r>
    </w:p>
    <w:p>
      <w:r>
        <w:rPr>
          <w:color w:val="0A0D0B"/>
          <w:sz w:val="21"/>
        </w:rPr>
        <w:t>3. Ministry of Justice lodgement fee</w:t>
      </w:r>
    </w:p>
    <w:p>
      <w:r>
        <w:rPr>
          <w:rFonts w:ascii="Consolas" w:hAnsi="Consolas"/>
          <w:color w:val="0A0D0B"/>
          <w:sz w:val="18"/>
        </w:rPr>
        <w:t xml:space="preserve">    $269.00    (incl. GST $309.35)</w:t>
      </w:r>
    </w:p>
    <w:p>
      <w:r>
        <w:rPr>
          <w:color w:val="0A0D0B"/>
          <w:sz w:val="21"/>
        </w:rPr>
        <w:t>4. Preparation of Affidavit of Service</w:t>
      </w:r>
    </w:p>
    <w:p>
      <w:r>
        <w:rPr>
          <w:rFonts w:ascii="Consolas" w:hAnsi="Consolas"/>
          <w:color w:val="0A0D0B"/>
          <w:sz w:val="18"/>
        </w:rPr>
        <w:t xml:space="preserve">    2 hrs x $85.00 = $170.00    (incl. GST $195.50)</w:t>
      </w:r>
    </w:p>
    <w:p>
      <w:r>
        <w:rPr>
          <w:color w:val="0A0D0B"/>
          <w:sz w:val="21"/>
        </w:rPr>
        <w:t>5. Personal service by Agent (actual and variable)</w:t>
      </w:r>
    </w:p>
    <w:p>
      <w:r>
        <w:rPr>
          <w:rFonts w:ascii="Consolas" w:hAnsi="Consolas"/>
          <w:color w:val="0A0D0B"/>
          <w:sz w:val="18"/>
        </w:rPr>
        <w:t xml:space="preserve">    $200.00    (incl. GST $230.00)</w:t>
      </w:r>
    </w:p>
    <w:p>
      <w:r>
        <w:rPr>
          <w:color w:val="0A0D0B"/>
          <w:sz w:val="21"/>
        </w:rPr>
        <w:t>6. Negotiation with 3rd party (if applicable)</w:t>
      </w:r>
    </w:p>
    <w:p>
      <w:r>
        <w:rPr>
          <w:rFonts w:ascii="Consolas" w:hAnsi="Consolas"/>
          <w:color w:val="0A0D0B"/>
          <w:sz w:val="18"/>
        </w:rPr>
        <w:t xml:space="preserve">    1 hr x $85.00 = $85.00    (incl. GST $97.75)</w:t>
      </w:r>
    </w:p>
    <w:p>
      <w:r>
        <w:rPr>
          <w:color w:val="0A0D0B"/>
          <w:sz w:val="21"/>
        </w:rPr>
        <w:t>7. Preparation of Judgment application</w:t>
      </w:r>
    </w:p>
    <w:p>
      <w:r>
        <w:rPr>
          <w:rFonts w:ascii="Consolas" w:hAnsi="Consolas"/>
          <w:color w:val="0A0D0B"/>
          <w:sz w:val="18"/>
        </w:rPr>
        <w:t xml:space="preserve">    2 hrs x $85.00 = $170.00    (incl. GST $195.50)</w:t>
      </w:r>
    </w:p>
    <w:p>
      <w:r>
        <w:rPr>
          <w:color w:val="0A0D0B"/>
          <w:sz w:val="21"/>
        </w:rPr>
        <w:t>8. Ministry of Justice lodgement fee</w:t>
      </w:r>
    </w:p>
    <w:p>
      <w:r>
        <w:rPr>
          <w:rFonts w:ascii="Consolas" w:hAnsi="Consolas"/>
          <w:color w:val="0A0D0B"/>
          <w:sz w:val="18"/>
        </w:rPr>
        <w:t xml:space="preserve">    $127.00    (incl. GST $146.05)</w:t>
      </w:r>
    </w:p>
    <w:p>
      <w:r>
        <w:rPr>
          <w:rFonts w:ascii="Consolas" w:hAnsi="Consolas"/>
          <w:color w:val="0A0D0B"/>
          <w:sz w:val="18"/>
        </w:rPr>
        <w:t xml:space="preserve">    Indicative total to judgment: $1,500 + GST (*recoverable)</w:t>
      </w:r>
    </w:p>
    <w:p/>
    <w:p>
      <w:pPr>
        <w:spacing w:before="120"/>
      </w:pPr>
      <w:r>
        <w:rPr>
          <w:b/>
          <w:color w:val="9A7B4F"/>
          <w:sz w:val="20"/>
        </w:rPr>
        <w:t>ENFORCEMENT — ONCE JUDGMENT IS TO HAND</w:t>
      </w:r>
    </w:p>
    <w:p>
      <w:r>
        <w:rPr>
          <w:color w:val="0A0D0B"/>
          <w:sz w:val="21"/>
        </w:rPr>
        <w:t>Where judgment remains unpaid, one of the following enforcement pathways is recommended:</w:t>
      </w:r>
    </w:p>
    <w:p/>
    <w:p>
      <w:pPr>
        <w:spacing w:before="120"/>
      </w:pPr>
      <w:r>
        <w:rPr>
          <w:b/>
          <w:color w:val="9A7B4F"/>
          <w:sz w:val="20"/>
        </w:rPr>
        <w:t>ATTACHMENT ORDER (WHERE EMPLOYMENT DETAILS ARE KNOWN)</w:t>
      </w:r>
    </w:p>
    <w:p>
      <w:r>
        <w:rPr>
          <w:color w:val="0A0D0B"/>
          <w:sz w:val="21"/>
        </w:rPr>
        <w:t>9. Prepare Attachment Order</w:t>
      </w:r>
    </w:p>
    <w:p>
      <w:r>
        <w:rPr>
          <w:rFonts w:ascii="Consolas" w:hAnsi="Consolas"/>
          <w:color w:val="0A0D0B"/>
          <w:sz w:val="18"/>
        </w:rPr>
        <w:t xml:space="preserve">    1.5 hrs x $85.00 = $127.50    (incl. GST $146.63)</w:t>
      </w:r>
    </w:p>
    <w:p>
      <w:r>
        <w:rPr>
          <w:color w:val="0A0D0B"/>
          <w:sz w:val="21"/>
        </w:rPr>
        <w:t>10. Ministry of Justice lodgement fee</w:t>
      </w:r>
    </w:p>
    <w:p>
      <w:r>
        <w:rPr>
          <w:rFonts w:ascii="Consolas" w:hAnsi="Consolas"/>
          <w:color w:val="0A0D0B"/>
          <w:sz w:val="18"/>
        </w:rPr>
        <w:t xml:space="preserve">    $0.00    (incl. GST $67.00)</w:t>
      </w:r>
    </w:p>
    <w:p/>
    <w:p>
      <w:pPr>
        <w:spacing w:before="120"/>
      </w:pPr>
      <w:r>
        <w:rPr>
          <w:b/>
          <w:color w:val="9A7B4F"/>
          <w:sz w:val="20"/>
        </w:rPr>
        <w:t>FINANCIAL ASSESSMENT HEARING (FAH)</w:t>
      </w:r>
    </w:p>
    <w:p>
      <w:r>
        <w:rPr>
          <w:color w:val="0A0D0B"/>
          <w:sz w:val="21"/>
        </w:rPr>
        <w:t>11. Prepare Financial Assessment Hearing document (FAH)</w:t>
      </w:r>
    </w:p>
    <w:p>
      <w:r>
        <w:rPr>
          <w:rFonts w:ascii="Consolas" w:hAnsi="Consolas"/>
          <w:color w:val="0A0D0B"/>
          <w:sz w:val="18"/>
        </w:rPr>
        <w:t xml:space="preserve">    1.5 hrs x $85.00 = $127.50    (incl. GST $146.63)</w:t>
      </w:r>
    </w:p>
    <w:p>
      <w:r>
        <w:rPr>
          <w:color w:val="0A0D0B"/>
          <w:sz w:val="21"/>
        </w:rPr>
        <w:t>12. Ministry of Justice lodgement fee</w:t>
      </w:r>
    </w:p>
    <w:p>
      <w:r>
        <w:rPr>
          <w:rFonts w:ascii="Consolas" w:hAnsi="Consolas"/>
          <w:color w:val="0A0D0B"/>
          <w:sz w:val="18"/>
        </w:rPr>
        <w:t xml:space="preserve">    $0.00    (incl. GST $174.00)</w:t>
      </w:r>
    </w:p>
    <w:p>
      <w:r>
        <w:rPr>
          <w:color w:val="0A0D0B"/>
          <w:sz w:val="21"/>
        </w:rPr>
        <w:t>13. Service of FAH (actual and variable)</w:t>
      </w:r>
    </w:p>
    <w:p>
      <w:r>
        <w:rPr>
          <w:rFonts w:ascii="Consolas" w:hAnsi="Consolas"/>
          <w:color w:val="0A0D0B"/>
          <w:sz w:val="18"/>
        </w:rPr>
        <w:t xml:space="preserve">    $164.57    (incl. GST $189.25)</w:t>
      </w:r>
    </w:p>
    <w:p>
      <w:r>
        <w:rPr>
          <w:color w:val="0A0D0B"/>
          <w:sz w:val="21"/>
        </w:rPr>
        <w:t>14. Attend FAH and report to client</w:t>
      </w:r>
    </w:p>
    <w:p>
      <w:r>
        <w:rPr>
          <w:rFonts w:ascii="Consolas" w:hAnsi="Consolas"/>
          <w:color w:val="0A0D0B"/>
          <w:sz w:val="18"/>
        </w:rPr>
        <w:t xml:space="preserve">    2 hrs x $85.00 = $170.00    (incl. GST $195.50)</w:t>
      </w:r>
    </w:p>
    <w:p/>
    <w:p>
      <w:pPr>
        <w:spacing w:before="120"/>
      </w:pPr>
      <w:r>
        <w:rPr>
          <w:b/>
          <w:color w:val="9A7B4F"/>
          <w:sz w:val="20"/>
        </w:rPr>
        <w:t>ASSESSMENT OF FINANCIAL MEANS (AOFM)</w:t>
      </w:r>
    </w:p>
    <w:p>
      <w:r>
        <w:rPr>
          <w:color w:val="0A0D0B"/>
          <w:sz w:val="21"/>
        </w:rPr>
        <w:t>15. Prepare Assessment of Financial Means document (AoFM)</w:t>
      </w:r>
    </w:p>
    <w:p>
      <w:r>
        <w:rPr>
          <w:rFonts w:ascii="Consolas" w:hAnsi="Consolas"/>
          <w:color w:val="0A0D0B"/>
          <w:sz w:val="18"/>
        </w:rPr>
        <w:t xml:space="preserve">    1.5 hrs x $85.00 = $127.50    (incl. GST $146.63)</w:t>
      </w:r>
    </w:p>
    <w:p>
      <w:r>
        <w:rPr>
          <w:color w:val="0A0D0B"/>
          <w:sz w:val="21"/>
        </w:rPr>
        <w:t>16. Ministry of Justice lodgement fee</w:t>
      </w:r>
    </w:p>
    <w:p>
      <w:r>
        <w:rPr>
          <w:rFonts w:ascii="Consolas" w:hAnsi="Consolas"/>
          <w:color w:val="0A0D0B"/>
          <w:sz w:val="18"/>
        </w:rPr>
        <w:t xml:space="preserve">    $93.04    (incl. GST $107.00)</w:t>
      </w:r>
    </w:p>
    <w:p/>
    <w:p>
      <w:pPr>
        <w:spacing w:before="120"/>
      </w:pPr>
      <w:r>
        <w:rPr>
          <w:b/>
          <w:color w:val="9A7B4F"/>
          <w:sz w:val="20"/>
        </w:rPr>
        <w:t>ADDITIONAL WORK</w:t>
      </w:r>
    </w:p>
    <w:p>
      <w:r>
        <w:rPr>
          <w:color w:val="0A0D0B"/>
          <w:sz w:val="21"/>
        </w:rPr>
        <w:t>17. Hourly rate for additional work, including client and 3rd-party meetings not listed above</w:t>
      </w:r>
    </w:p>
    <w:p>
      <w:r>
        <w:rPr>
          <w:rFonts w:ascii="Consolas" w:hAnsi="Consolas"/>
          <w:color w:val="0A0D0B"/>
          <w:sz w:val="18"/>
        </w:rPr>
        <w:t xml:space="preserve">    $85.00 per hour    (incl. GST $97.75)</w:t>
      </w:r>
    </w:p>
    <w:p/>
    <w:p>
      <w:r>
        <w:rPr>
          <w:color w:val="0A0D0B"/>
          <w:sz w:val="21"/>
        </w:rPr>
        <w:t>* Subject to GST.</w:t>
      </w:r>
    </w:p>
    <w:p>
      <w:r>
        <w:rPr>
          <w:color w:val="0A0D0B"/>
          <w:sz w:val="21"/>
        </w:rPr>
        <w:t>Note 1: Grafton Group are mediation and collection specialists and are not qualified to give legal advice.</w:t>
      </w:r>
    </w:p>
    <w:p>
      <w:r>
        <w:rPr>
          <w:color w:val="0A0D0B"/>
          <w:sz w:val="21"/>
        </w:rPr>
        <w:t>Note 2: Travel costs are charged at 50% of the hourly rate above.</w:t>
      </w:r>
    </w:p>
    <w:p>
      <w:r>
        <w:rPr>
          <w:color w:val="0A0D0B"/>
          <w:sz w:val="21"/>
        </w:rPr>
        <w:t>No statements are issued; payment is due on receipt of invoice to Chartwell (NZ) Ltd T/A Grafton Group, Westpac Banking Corporation —            03-1318-0133844-00.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</w:pPr>
    <w:r>
      <w:rPr>
        <w:b/>
        <w:color w:val="58635C"/>
        <w:sz w:val="14"/>
      </w:rPr>
      <w:t>Chartwell (NZ) Ltd T/A Grafton Group</w:t>
    </w:r>
  </w:p>
  <w:p>
    <w:pPr>
      <w:spacing w:after="0"/>
    </w:pPr>
    <w:r>
      <w:rPr>
        <w:color w:val="58635C"/>
        <w:sz w:val="13"/>
      </w:rPr>
      <w:t>PO Box 12230, Chartwell 3248, Hamilton, New Zealand</w:t>
      <w:br/>
      <w:t>Ph: +64 27 242 2757  •  graftongroup@chartwell.co.nz  •  Westpac Banking Corporation — 03-1318-0133844-00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/>
    </w:pPr>
    <w:r>
      <w:rPr>
        <w:sz w:val="2"/>
      </w:rPr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213"/>
      <w:gridCol w:w="3213"/>
      <w:gridCol w:w="3213"/>
    </w:tblGrid>
    <w:tr>
      <w:tc>
        <w:tcPr>
          <w:tcW w:type="dxa" w:w="4195"/>
          <w:vAlign w:val="center"/>
          <w:shd w:val="clear" w:color="auto" w:fill="12261B"/>
          <w:tcMar>
            <w:top w:w="40" w:type="dxa"/>
            <w:bottom w:w="40" w:type="dxa"/>
            <w:start w:w="80" w:type="dxa"/>
            <w:end w:w="80" w:type="dxa"/>
          </w:tcMar>
        </w:tcPr>
        <w:p>
          <w:pPr>
            <w:spacing w:after="0"/>
          </w:pPr>
          <w:r>
            <w:rPr>
              <w:rFonts w:ascii="Georgia" w:hAnsi="Georgia"/>
              <w:b/>
              <w:color w:val="F5F3EC"/>
              <w:sz w:val="34"/>
            </w:rPr>
            <w:t>GRAFTON GROUP</w:t>
          </w:r>
        </w:p>
        <w:p>
          <w:pPr>
            <w:spacing w:before="20"/>
          </w:pPr>
          <w:r>
            <w:rPr>
              <w:i/>
              <w:color w:val="B89874"/>
              <w:sz w:val="18"/>
            </w:rPr>
            <w:t>“Leave it to us”</w:t>
          </w:r>
        </w:p>
      </w:tc>
      <w:tc>
        <w:tcPr>
          <w:tcW w:type="dxa" w:w="1701"/>
          <w:vAlign w:val="center"/>
          <w:shd w:val="clear" w:color="auto" w:fill="12261B"/>
          <w:tcMar>
            <w:top w:w="40" w:type="dxa"/>
            <w:bottom w:w="40" w:type="dxa"/>
            <w:start w:w="80" w:type="dxa"/>
            <w:end w:w="80" w:type="dxa"/>
          </w:tcMar>
        </w:tcPr>
        <w:p>
          <w:pPr>
            <w:spacing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11896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cales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1896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742"/>
          <w:vAlign w:val="center"/>
          <w:shd w:val="clear" w:color="auto" w:fill="12261B"/>
          <w:tcMar>
            <w:top w:w="40" w:type="dxa"/>
            <w:bottom w:w="40" w:type="dxa"/>
            <w:start w:w="80" w:type="dxa"/>
            <w:end w:w="80" w:type="dxa"/>
          </w:tcMar>
        </w:tcPr>
        <w:p>
          <w:pPr>
            <w:spacing w:after="0"/>
            <w:jc w:val="right"/>
          </w:pPr>
          <w:r>
            <w:rPr>
              <w:color w:val="F5F3EC"/>
              <w:sz w:val="15"/>
            </w:rPr>
            <w:t>Credit Management &amp; Recovery Specialists</w:t>
          </w:r>
        </w:p>
        <w:p>
          <w:pPr>
            <w:spacing w:after="0"/>
            <w:jc w:val="right"/>
          </w:pPr>
          <w:r>
            <w:rPr>
              <w:color w:val="F5F3EC"/>
              <w:sz w:val="15"/>
            </w:rPr>
            <w:t>Authorised FEDS Network Agent</w:t>
          </w:r>
        </w:p>
        <w:p>
          <w:pPr>
            <w:spacing w:after="0"/>
            <w:jc w:val="right"/>
          </w:pPr>
          <w:r>
            <w:rPr>
              <w:color w:val="B89874"/>
              <w:sz w:val="15"/>
            </w:rPr>
            <w:t>+64 27 242 2757</w:t>
          </w:r>
        </w:p>
      </w:tc>
    </w:tr>
  </w:tbl>
  <w:p>
    <w:pPr>
      <w:spacing w:before="40" w:after="0"/>
      <w:pBdr>
        <w:bottom w:val="single" w:sz="12" w:space="1" w:color="9A7B4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